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AF668C" w14:textId="26717AF5" w:rsidR="00F34E52" w:rsidRPr="00C36DD7" w:rsidRDefault="00F34E52" w:rsidP="002A091C">
      <w:pPr>
        <w:ind w:left="4820" w:right="111"/>
        <w:jc w:val="both"/>
        <w:rPr>
          <w:sz w:val="22"/>
          <w:szCs w:val="22"/>
        </w:rPr>
      </w:pPr>
      <w:r w:rsidRPr="00C36DD7">
        <w:rPr>
          <w:color w:val="000000"/>
          <w:sz w:val="22"/>
          <w:szCs w:val="22"/>
          <w:lang w:eastAsia="lt-LT"/>
        </w:rPr>
        <w:t xml:space="preserve">Vietos projektų finansavimo sąlygų aprašo, taikomo </w:t>
      </w:r>
      <w:r w:rsidRPr="00C36DD7">
        <w:rPr>
          <w:sz w:val="22"/>
          <w:szCs w:val="22"/>
        </w:rPr>
        <w:t>VPS priemonės „</w:t>
      </w:r>
      <w:r w:rsidR="002A091C" w:rsidRPr="002A091C">
        <w:rPr>
          <w:rFonts w:eastAsia="Calibri"/>
          <w:sz w:val="22"/>
          <w:szCs w:val="22"/>
        </w:rPr>
        <w:t>Socialinio ir bendruomeninio verslo kūrimas ir plėtra</w:t>
      </w:r>
      <w:r w:rsidR="002A091C">
        <w:rPr>
          <w:sz w:val="22"/>
          <w:szCs w:val="22"/>
        </w:rPr>
        <w:t>“, kodas LEADER-19.2-SAVA-1</w:t>
      </w:r>
    </w:p>
    <w:p w14:paraId="0EEBCB5C" w14:textId="1030BE08" w:rsidR="00F34E52" w:rsidRPr="00C36DD7" w:rsidRDefault="0074128B" w:rsidP="002A091C">
      <w:pPr>
        <w:ind w:left="4820" w:right="111"/>
        <w:jc w:val="both"/>
        <w:rPr>
          <w:color w:val="000000"/>
          <w:sz w:val="22"/>
          <w:szCs w:val="22"/>
          <w:lang w:eastAsia="lt-LT"/>
        </w:rPr>
      </w:pPr>
      <w:r>
        <w:rPr>
          <w:color w:val="000000"/>
          <w:sz w:val="22"/>
          <w:szCs w:val="22"/>
          <w:lang w:eastAsia="lt-LT"/>
        </w:rPr>
        <w:t>2</w:t>
      </w:r>
      <w:r w:rsidR="00F34E52" w:rsidRPr="00C36DD7">
        <w:rPr>
          <w:color w:val="000000"/>
          <w:sz w:val="22"/>
          <w:szCs w:val="22"/>
          <w:lang w:eastAsia="lt-LT"/>
        </w:rPr>
        <w:t> priedas</w:t>
      </w:r>
    </w:p>
    <w:p w14:paraId="0F0BF4C1" w14:textId="08785857" w:rsidR="001B35D0" w:rsidRPr="00A118D2" w:rsidRDefault="001B35D0" w:rsidP="00F34E52">
      <w:pPr>
        <w:pStyle w:val="num1Diagrama"/>
        <w:numPr>
          <w:ilvl w:val="0"/>
          <w:numId w:val="0"/>
        </w:numPr>
        <w:tabs>
          <w:tab w:val="left" w:pos="567"/>
          <w:tab w:val="num" w:pos="2541"/>
        </w:tabs>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0A2EB6D3"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5167AE">
        <w:rPr>
          <w:szCs w:val="24"/>
        </w:rPr>
        <w:t>Kalvarijos vietos veiklos grupės</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5167AE" w:rsidRPr="00A118D2">
        <w:rPr>
          <w:szCs w:val="24"/>
        </w:rPr>
        <w:t>„</w:t>
      </w:r>
      <w:r w:rsidR="005167AE" w:rsidRPr="00B757C7">
        <w:rPr>
          <w:szCs w:val="24"/>
        </w:rPr>
        <w:t xml:space="preserve">Kalvarijos VVG </w:t>
      </w:r>
      <w:r w:rsidR="005167AE">
        <w:rPr>
          <w:szCs w:val="24"/>
        </w:rPr>
        <w:t xml:space="preserve">teritorijos vietos plėtros 2016 – </w:t>
      </w:r>
      <w:r w:rsidR="005167AE" w:rsidRPr="00B757C7">
        <w:rPr>
          <w:szCs w:val="24"/>
        </w:rPr>
        <w:t>2023 m. strategija</w:t>
      </w:r>
      <w:r w:rsidR="005167AE" w:rsidRPr="00A118D2">
        <w:rPr>
          <w:szCs w:val="24"/>
        </w:rPr>
        <w:t xml:space="preserve">“ </w:t>
      </w:r>
      <w:r w:rsidR="005167AE">
        <w:rPr>
          <w:szCs w:val="24"/>
        </w:rPr>
        <w:t>I</w:t>
      </w:r>
      <w:r w:rsidR="002A091C">
        <w:rPr>
          <w:szCs w:val="24"/>
        </w:rPr>
        <w:t>I</w:t>
      </w:r>
      <w:r w:rsidR="005167AE" w:rsidRPr="00A118D2">
        <w:rPr>
          <w:szCs w:val="24"/>
        </w:rPr>
        <w:t xml:space="preserve"> prioriteto „</w:t>
      </w:r>
      <w:r w:rsidR="002A091C" w:rsidRPr="002A091C">
        <w:rPr>
          <w:rFonts w:eastAsia="Calibri"/>
          <w:szCs w:val="24"/>
        </w:rPr>
        <w:t>Vietos ūkio orientavimas į darnią ir ilgalaikę krašto plėtrą</w:t>
      </w:r>
      <w:r w:rsidR="005167AE" w:rsidRPr="00A118D2">
        <w:rPr>
          <w:szCs w:val="24"/>
        </w:rPr>
        <w:t>“</w:t>
      </w:r>
      <w:r w:rsidR="005167AE">
        <w:rPr>
          <w:szCs w:val="24"/>
        </w:rPr>
        <w:t xml:space="preserve"> </w:t>
      </w:r>
      <w:r w:rsidR="001A60CE" w:rsidRPr="00A118D2">
        <w:rPr>
          <w:szCs w:val="24"/>
        </w:rPr>
        <w:t xml:space="preserve">priemonę </w:t>
      </w:r>
      <w:r w:rsidR="00227C63" w:rsidRPr="00A118D2">
        <w:rPr>
          <w:szCs w:val="24"/>
        </w:rPr>
        <w:t xml:space="preserve">Nr. </w:t>
      </w:r>
      <w:r w:rsidR="005167AE" w:rsidRPr="00D54CF2">
        <w:rPr>
          <w:rFonts w:eastAsiaTheme="minorHAnsi"/>
          <w:sz w:val="22"/>
          <w:szCs w:val="22"/>
        </w:rPr>
        <w:t>LEADER-19.2-SAVA-</w:t>
      </w:r>
      <w:r w:rsidR="002A091C">
        <w:rPr>
          <w:rFonts w:eastAsiaTheme="minorHAnsi"/>
          <w:sz w:val="22"/>
          <w:szCs w:val="22"/>
        </w:rPr>
        <w:t>1</w:t>
      </w:r>
      <w:r w:rsidR="00227C63" w:rsidRPr="00A118D2">
        <w:rPr>
          <w:szCs w:val="24"/>
        </w:rPr>
        <w:t xml:space="preserve"> „</w:t>
      </w:r>
      <w:r w:rsidR="002A091C" w:rsidRPr="002A091C">
        <w:rPr>
          <w:szCs w:val="24"/>
        </w:rPr>
        <w:t>Socialinio ir bendruomeninio verslo kūrimas ir plėtra</w:t>
      </w:r>
      <w:bookmarkStart w:id="0" w:name="_GoBack"/>
      <w:bookmarkEnd w:id="0"/>
      <w:r w:rsidR="00227C63" w:rsidRPr="00A118D2">
        <w:rPr>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5167AE">
        <w:rPr>
          <w:szCs w:val="24"/>
        </w:rPr>
        <w:t>Kalvarijos VVG tarybos</w:t>
      </w:r>
      <w:r w:rsidR="005167AE" w:rsidRPr="00A118D2">
        <w:rPr>
          <w:i/>
          <w:szCs w:val="24"/>
        </w:rPr>
        <w:t xml:space="preserve"> </w:t>
      </w:r>
      <w:r w:rsidR="005167AE">
        <w:rPr>
          <w:szCs w:val="24"/>
        </w:rPr>
        <w:t>2020</w:t>
      </w:r>
      <w:r w:rsidR="005167AE" w:rsidRPr="00A118D2">
        <w:rPr>
          <w:szCs w:val="24"/>
        </w:rPr>
        <w:t xml:space="preserve"> m. </w:t>
      </w:r>
      <w:r w:rsidR="005167AE">
        <w:rPr>
          <w:szCs w:val="24"/>
        </w:rPr>
        <w:t>rugsėjo 14</w:t>
      </w:r>
      <w:r w:rsidR="005167AE" w:rsidRPr="00A118D2">
        <w:rPr>
          <w:szCs w:val="24"/>
        </w:rPr>
        <w:t xml:space="preserve"> d. sprendimu Nr. </w:t>
      </w:r>
      <w:r w:rsidR="005167AE">
        <w:rPr>
          <w:szCs w:val="24"/>
        </w:rPr>
        <w:t>T-6</w:t>
      </w:r>
      <w:r w:rsidR="005167AE"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D34E5D8"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7887065F"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su socialinio draudimo įnašų mokėjimu susijusius įsipareigojimus, vadovaudam</w:t>
      </w:r>
      <w:r w:rsidR="00C36DD7">
        <w:rPr>
          <w:lang w:val="lt-LT"/>
        </w:rPr>
        <w:t>asi</w:t>
      </w:r>
      <w:r w:rsidR="00D41074" w:rsidRPr="00A118D2">
        <w:rPr>
          <w:lang w:val="lt-LT"/>
        </w:rPr>
        <w:t>s</w:t>
      </w:r>
      <w:r w:rsidR="000E7440" w:rsidRPr="00A118D2">
        <w:rPr>
          <w:lang w:val="lt-LT"/>
        </w:rPr>
        <w:t xml:space="preserve"> Lietuvos Respublikos teisės aktais;</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6F0C58A7"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12A281BA"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7F577BF5"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5A3B5978"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lastRenderedPageBreak/>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2"/>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3"/>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4"/>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lastRenderedPageBreak/>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5"/>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6"/>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7"/>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8"/>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9"/>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0"/>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1"/>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2"/>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7877CA0D"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13"/>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14"/>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lastRenderedPageBreak/>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15"/>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16"/>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17"/>
      </w:r>
      <w:r w:rsidRPr="00A118D2">
        <w:t>.</w:t>
      </w:r>
      <w:r w:rsidRPr="00A118D2">
        <w:rPr>
          <w:rStyle w:val="FootnoteReference"/>
        </w:rPr>
        <w:footnoteReference w:id="18"/>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19"/>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0"/>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w:t>
      </w:r>
      <w:r w:rsidR="00DF254A" w:rsidRPr="00A118D2">
        <w:lastRenderedPageBreak/>
        <w:t xml:space="preserve">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2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BodyTextIndent3"/>
        <w:tabs>
          <w:tab w:val="left" w:pos="1311"/>
        </w:tabs>
        <w:spacing w:line="240" w:lineRule="auto"/>
        <w:ind w:firstLine="851"/>
        <w:rPr>
          <w:lang w:val="lt-LT"/>
        </w:rPr>
      </w:pPr>
      <w:r w:rsidRPr="00A118D2">
        <w:rPr>
          <w:lang w:val="lt-LT"/>
        </w:rPr>
        <w:lastRenderedPageBreak/>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lastRenderedPageBreak/>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2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lastRenderedPageBreak/>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2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2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25"/>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0D953C44" w:rsidR="002E5D3D" w:rsidRPr="00A118D2" w:rsidRDefault="00322168" w:rsidP="00AF718D">
      <w:pPr>
        <w:pStyle w:val="BodyText"/>
        <w:rPr>
          <w:szCs w:val="24"/>
        </w:rPr>
      </w:pPr>
      <w:r>
        <w:rPr>
          <w:szCs w:val="24"/>
        </w:rPr>
        <w:t>K</w:t>
      </w:r>
      <w:r w:rsidR="002E5D3D" w:rsidRPr="00A118D2">
        <w:rPr>
          <w:szCs w:val="24"/>
        </w:rPr>
        <w:t>odas</w:t>
      </w:r>
      <w:r w:rsidR="00E86D3E" w:rsidRPr="00E86D3E">
        <w:rPr>
          <w:rStyle w:val="FootnoteReference"/>
          <w:i/>
          <w:szCs w:val="24"/>
        </w:rPr>
        <w:footnoteReference w:id="2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FootnoteReference"/>
          <w:i/>
          <w:szCs w:val="24"/>
        </w:rPr>
        <w:footnoteReference w:id="2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4B7448">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10DDB" w14:textId="77777777" w:rsidR="00042528" w:rsidRDefault="00042528">
      <w:r>
        <w:separator/>
      </w:r>
    </w:p>
  </w:endnote>
  <w:endnote w:type="continuationSeparator" w:id="0">
    <w:p w14:paraId="17800E79" w14:textId="77777777" w:rsidR="00042528" w:rsidRDefault="0004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00E7B" w14:textId="77777777" w:rsidR="00042528" w:rsidRDefault="00042528">
      <w:r>
        <w:separator/>
      </w:r>
    </w:p>
  </w:footnote>
  <w:footnote w:type="continuationSeparator" w:id="0">
    <w:p w14:paraId="3AB9993A" w14:textId="77777777" w:rsidR="00042528" w:rsidRDefault="00042528">
      <w:r>
        <w:continuationSeparator/>
      </w:r>
    </w:p>
  </w:footnote>
  <w:footnote w:id="1">
    <w:p w14:paraId="0ABE413D" w14:textId="12DFAEC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3">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4">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5">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6">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7">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9">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0">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1">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2">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3">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4">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5">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6">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17">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18">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19">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0">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1">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2">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23">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24">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25">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 w:id="26">
    <w:p w14:paraId="6374F5AE" w14:textId="7AD01724" w:rsidR="00E86D3E" w:rsidRPr="00E86D3E" w:rsidRDefault="00E86D3E" w:rsidP="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 w:id="27">
    <w:p w14:paraId="3260CBAE" w14:textId="4191725B" w:rsidR="00E86D3E" w:rsidRPr="00E86D3E" w:rsidRDefault="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CE53552"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2A091C">
      <w:rPr>
        <w:rStyle w:val="PageNumber"/>
        <w:rFonts w:ascii="Times New Roman" w:hAnsi="Times New Roman"/>
        <w:noProof/>
      </w:rPr>
      <w:t>2</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349"/>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2528"/>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4760"/>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091C"/>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64A"/>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B7448"/>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67AE"/>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056"/>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28B"/>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3F0E"/>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2F0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95F"/>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5CD1"/>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6DD7"/>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4F6D"/>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058"/>
    <w:rsid w:val="00F22350"/>
    <w:rsid w:val="00F2235F"/>
    <w:rsid w:val="00F2276A"/>
    <w:rsid w:val="00F22D55"/>
    <w:rsid w:val="00F23350"/>
    <w:rsid w:val="00F23921"/>
    <w:rsid w:val="00F24255"/>
    <w:rsid w:val="00F24E31"/>
    <w:rsid w:val="00F26E44"/>
    <w:rsid w:val="00F311F8"/>
    <w:rsid w:val="00F31DD9"/>
    <w:rsid w:val="00F3403A"/>
    <w:rsid w:val="00F34E52"/>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54F6"/>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4285363-3F42-4744-86A8-95746475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18337</Words>
  <Characters>10453</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Simona</cp:lastModifiedBy>
  <cp:revision>3</cp:revision>
  <cp:lastPrinted>2009-04-27T09:33:00Z</cp:lastPrinted>
  <dcterms:created xsi:type="dcterms:W3CDTF">2020-09-11T08:03:00Z</dcterms:created>
  <dcterms:modified xsi:type="dcterms:W3CDTF">2020-09-11T08:05:00Z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