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1296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/>
          <w:b/>
          <w:b/>
          <w:bCs/>
          <w:color w:val="000000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Aistiškių kaimo bedruomenė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baigė įgyvendinti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projekt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ą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/>
          <w:b/>
          <w:b/>
          <w:bCs/>
          <w:color w:val="000000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„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Kur upelis Aista – ten gimtinė mana“,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/>
          <w:b/>
          <w:b/>
          <w:bCs/>
          <w:color w:val="000000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KALV-LEADER-6B-JS-3-2-2018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Aistiškių kaimo bedruomenė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baigė įgyvendinti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projekt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ą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„Kur upelis Aista – ten gimtinė mana“, KALV-LEADER-6B-JS-3-2-2018.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Projektas teiktas pagal VPS priemonę „Kaimo gyventojų sutelktumo skatinimas“ (kodas LEADER-19.2-SAVA-5).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Bendra projekto vertė – iki  10 </w:t>
      </w:r>
      <w:r>
        <w:rPr>
          <w:rFonts w:cs="Times New Roman" w:ascii="Times New Roman" w:hAnsi="Times New Roman"/>
          <w:sz w:val="24"/>
          <w:szCs w:val="24"/>
        </w:rPr>
        <w:t>526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>32</w:t>
      </w:r>
      <w:r>
        <w:rPr>
          <w:rFonts w:cs="Times New Roman" w:ascii="Times New Roman" w:hAnsi="Times New Roman"/>
          <w:sz w:val="24"/>
          <w:szCs w:val="24"/>
        </w:rPr>
        <w:t xml:space="preserve"> Eur., iš kurių paramos lėšos – iki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00,00 Eur. 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Projekto tikslas – </w:t>
      </w:r>
      <w:r>
        <w:rPr>
          <w:rFonts w:cs="Times New Roman" w:ascii="Times New Roman" w:hAnsi="Times New Roman"/>
          <w:sz w:val="24"/>
          <w:szCs w:val="24"/>
        </w:rPr>
        <w:t>išsaugoti Aistiškių krašto tradicijas, puoselėti vietos tradicinę kultūrą bei stiprinti ryšius su kraštiečiais mažinant socialinę atskirtį.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Įvykę 3 edukaciniai dailės užsiėmimai, tradicijų puoselėjimas edukacinių užsiėmimų ir kraštiečių šventės metu.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LibreOffice/7.1.1.2$Windows_X86_64 LibreOffice_project/fe0b08f4af1bacafe4c7ecc87ce55bb426164676</Application>
  <AppVersion>15.0000</AppVersion>
  <Pages>1</Pages>
  <Words>86</Words>
  <Characters>637</Characters>
  <CharactersWithSpaces>726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/>
  <dcterms:modified xsi:type="dcterms:W3CDTF">2022-06-07T10:30:20Z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